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26D4F" w14:textId="77777777" w:rsidR="006014F7" w:rsidRDefault="00311955">
      <w:pPr>
        <w:widowControl w:val="0"/>
        <w:rPr>
          <w:sz w:val="20"/>
          <w:szCs w:val="20"/>
        </w:rPr>
      </w:pPr>
      <w:bookmarkStart w:id="0" w:name="_GoBack"/>
      <w:bookmarkEnd w:id="0"/>
      <w:r>
        <w:t xml:space="preserve"> </w:t>
      </w:r>
      <w:r w:rsidR="002C50C8">
        <w:rPr>
          <w:noProof/>
        </w:rPr>
        <w:drawing>
          <wp:inline distT="0" distB="0" distL="0" distR="0" wp14:anchorId="3E57FFCE" wp14:editId="50FD5C33">
            <wp:extent cx="485547" cy="57058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AI CISL per carta  intestata unitaria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547" cy="570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C50C8">
        <w:tab/>
      </w:r>
      <w:r w:rsidR="002C50C8">
        <w:tab/>
      </w:r>
      <w:r w:rsidR="002C50C8">
        <w:tab/>
      </w:r>
      <w:r w:rsidR="002C50C8">
        <w:tab/>
      </w:r>
      <w:r w:rsidR="002C50C8">
        <w:tab/>
      </w:r>
      <w:r>
        <w:t xml:space="preserve"> </w:t>
      </w:r>
      <w:r w:rsidR="002C50C8">
        <w:t xml:space="preserve">  </w:t>
      </w:r>
      <w:r w:rsidR="002C50C8">
        <w:rPr>
          <w:noProof/>
        </w:rPr>
        <w:drawing>
          <wp:inline distT="0" distB="0" distL="0" distR="0" wp14:anchorId="22C6EC9E" wp14:editId="447025F1">
            <wp:extent cx="458115" cy="57058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- flaicgil 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15" cy="57058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C50C8">
        <w:tab/>
      </w:r>
      <w:r w:rsidR="002C50C8">
        <w:tab/>
      </w:r>
      <w:r w:rsidR="002C50C8">
        <w:tab/>
        <w:t xml:space="preserve">               </w:t>
      </w:r>
      <w:r>
        <w:t xml:space="preserve">    </w:t>
      </w:r>
      <w:r w:rsidR="002C50C8">
        <w:rPr>
          <w:noProof/>
        </w:rPr>
        <w:drawing>
          <wp:inline distT="0" distB="0" distL="0" distR="0" wp14:anchorId="1D6C5F67" wp14:editId="6194A584">
            <wp:extent cx="1045160" cy="545897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filbi 2 jpg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160" cy="545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2C50C8">
        <w:t xml:space="preserve">  </w:t>
      </w:r>
    </w:p>
    <w:p w14:paraId="0CE83011" w14:textId="77777777" w:rsidR="006014F7" w:rsidRDefault="006014F7">
      <w:pPr>
        <w:widowControl w:val="0"/>
        <w:rPr>
          <w:sz w:val="20"/>
          <w:szCs w:val="20"/>
        </w:rPr>
      </w:pPr>
    </w:p>
    <w:tbl>
      <w:tblPr>
        <w:tblW w:w="982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53"/>
        <w:gridCol w:w="3199"/>
      </w:tblGrid>
      <w:tr w:rsidR="00311955" w:rsidRPr="005934E0" w14:paraId="71694F68" w14:textId="77777777" w:rsidTr="00311955">
        <w:trPr>
          <w:trHeight w:val="992"/>
        </w:trPr>
        <w:tc>
          <w:tcPr>
            <w:tcW w:w="2977" w:type="dxa"/>
            <w:vAlign w:val="center"/>
          </w:tcPr>
          <w:p w14:paraId="4288B0C7" w14:textId="77777777" w:rsidR="00311955" w:rsidRPr="005934E0" w:rsidRDefault="00311955" w:rsidP="006125C6">
            <w:pPr>
              <w:rPr>
                <w:rFonts w:hAnsi="Times New Roman" w:cs="Times New Roman"/>
                <w:sz w:val="22"/>
                <w:szCs w:val="22"/>
                <w:lang w:val="fr-FR"/>
              </w:rPr>
            </w:pPr>
            <w:r w:rsidRPr="005934E0">
              <w:rPr>
                <w:rFonts w:hAnsi="Times New Roman" w:cs="Times New Roman"/>
                <w:b/>
                <w:sz w:val="22"/>
                <w:szCs w:val="22"/>
              </w:rPr>
              <w:t>FAI - CISL</w:t>
            </w:r>
          </w:p>
          <w:p w14:paraId="10F28967" w14:textId="77777777" w:rsidR="00311955" w:rsidRPr="005934E0" w:rsidRDefault="00311955" w:rsidP="006125C6">
            <w:pPr>
              <w:ind w:left="-284" w:firstLine="284"/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>Via Tevere, 20</w:t>
            </w:r>
          </w:p>
          <w:p w14:paraId="438DF65B" w14:textId="77777777" w:rsidR="00311955" w:rsidRPr="005934E0" w:rsidRDefault="00311955" w:rsidP="006125C6">
            <w:pPr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>00198 Roma</w:t>
            </w:r>
          </w:p>
          <w:p w14:paraId="3830D4E7" w14:textId="77777777" w:rsidR="00311955" w:rsidRPr="005934E0" w:rsidRDefault="00311955" w:rsidP="006125C6">
            <w:pPr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>Tel. 06/845691</w:t>
            </w:r>
          </w:p>
          <w:p w14:paraId="44648593" w14:textId="77777777" w:rsidR="00311955" w:rsidRPr="005934E0" w:rsidRDefault="00311955" w:rsidP="006125C6">
            <w:pPr>
              <w:rPr>
                <w:rFonts w:hAnsi="Times New Roman" w:cs="Times New Roman"/>
                <w:sz w:val="22"/>
                <w:szCs w:val="22"/>
                <w:lang w:val="fr-FR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>Fax 06/8840652</w:t>
            </w:r>
          </w:p>
          <w:p w14:paraId="5F652235" w14:textId="77777777" w:rsidR="00311955" w:rsidRPr="005934E0" w:rsidRDefault="00311955" w:rsidP="006125C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653" w:type="dxa"/>
            <w:vAlign w:val="center"/>
          </w:tcPr>
          <w:p w14:paraId="45DE21DF" w14:textId="77777777" w:rsidR="00311955" w:rsidRPr="005934E0" w:rsidRDefault="00311955" w:rsidP="006125C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b/>
                <w:sz w:val="22"/>
                <w:szCs w:val="22"/>
              </w:rPr>
              <w:t>FLAI - CGIL</w:t>
            </w:r>
          </w:p>
          <w:p w14:paraId="75C640F3" w14:textId="77777777" w:rsidR="00311955" w:rsidRPr="005934E0" w:rsidRDefault="00311955" w:rsidP="006125C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>Via L. Serra, 31</w:t>
            </w:r>
          </w:p>
          <w:p w14:paraId="51B69B6B" w14:textId="77777777" w:rsidR="00311955" w:rsidRPr="005934E0" w:rsidRDefault="00311955" w:rsidP="006125C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>00153 Roma</w:t>
            </w:r>
          </w:p>
          <w:p w14:paraId="65753C7F" w14:textId="77777777" w:rsidR="00311955" w:rsidRPr="005934E0" w:rsidRDefault="00311955" w:rsidP="006125C6">
            <w:pPr>
              <w:jc w:val="center"/>
              <w:rPr>
                <w:rFonts w:hAnsi="Times New Roman" w:cs="Times New Roman"/>
                <w:sz w:val="22"/>
                <w:szCs w:val="22"/>
                <w:lang w:val="fr-FR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>Tel. 06/585611</w:t>
            </w:r>
          </w:p>
          <w:p w14:paraId="5D9ED22A" w14:textId="77777777" w:rsidR="00311955" w:rsidRPr="005934E0" w:rsidRDefault="00311955" w:rsidP="006125C6">
            <w:pPr>
              <w:jc w:val="center"/>
              <w:rPr>
                <w:rFonts w:hAnsi="Times New Roman" w:cs="Times New Roman"/>
                <w:sz w:val="22"/>
                <w:szCs w:val="22"/>
                <w:lang w:val="fr-FR"/>
              </w:rPr>
            </w:pPr>
            <w:r w:rsidRPr="005934E0">
              <w:rPr>
                <w:rFonts w:hAnsi="Times New Roman" w:cs="Times New Roman"/>
                <w:sz w:val="22"/>
                <w:szCs w:val="22"/>
                <w:lang w:val="fr-FR"/>
              </w:rPr>
              <w:t>Fax 06/233238563</w:t>
            </w:r>
          </w:p>
          <w:p w14:paraId="30F18307" w14:textId="77777777" w:rsidR="00311955" w:rsidRPr="005934E0" w:rsidRDefault="00311955" w:rsidP="006125C6">
            <w:pPr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199" w:type="dxa"/>
            <w:vAlign w:val="center"/>
          </w:tcPr>
          <w:p w14:paraId="3C3C815B" w14:textId="77777777" w:rsidR="00311955" w:rsidRPr="005934E0" w:rsidRDefault="00311955" w:rsidP="00311955">
            <w:pPr>
              <w:ind w:left="145"/>
              <w:jc w:val="right"/>
              <w:rPr>
                <w:rFonts w:hAnsi="Times New Roman" w:cs="Times New Roman"/>
                <w:b/>
                <w:sz w:val="22"/>
                <w:szCs w:val="22"/>
              </w:rPr>
            </w:pPr>
            <w:r w:rsidRPr="005934E0">
              <w:rPr>
                <w:rFonts w:hAnsi="Times New Roman" w:cs="Times New Roman"/>
                <w:b/>
                <w:sz w:val="22"/>
                <w:szCs w:val="22"/>
              </w:rPr>
              <w:t xml:space="preserve"> FILBI – UIL</w:t>
            </w:r>
          </w:p>
          <w:p w14:paraId="783B436B" w14:textId="77777777" w:rsidR="00311955" w:rsidRPr="005934E0" w:rsidRDefault="00311955" w:rsidP="00311955">
            <w:pPr>
              <w:ind w:left="145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 xml:space="preserve">  Via Savoia, 80</w:t>
            </w:r>
          </w:p>
          <w:p w14:paraId="14964507" w14:textId="77777777" w:rsidR="00311955" w:rsidRPr="005934E0" w:rsidRDefault="00311955" w:rsidP="00311955">
            <w:pPr>
              <w:ind w:left="145"/>
              <w:jc w:val="right"/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 xml:space="preserve">  00198 Roma</w:t>
            </w:r>
          </w:p>
          <w:p w14:paraId="63E2D969" w14:textId="77777777" w:rsidR="00311955" w:rsidRPr="005934E0" w:rsidRDefault="00311955" w:rsidP="00311955">
            <w:pPr>
              <w:ind w:left="145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                     </w:t>
            </w:r>
            <w:r w:rsidRPr="005934E0">
              <w:rPr>
                <w:rFonts w:hAnsi="Times New Roman" w:cs="Times New Roman"/>
                <w:sz w:val="22"/>
                <w:szCs w:val="22"/>
              </w:rPr>
              <w:t>Tel. 06/85301610</w:t>
            </w:r>
          </w:p>
          <w:p w14:paraId="10BB7002" w14:textId="77777777" w:rsidR="00311955" w:rsidRPr="005934E0" w:rsidRDefault="00311955" w:rsidP="00311955">
            <w:pPr>
              <w:ind w:left="145"/>
              <w:jc w:val="right"/>
              <w:rPr>
                <w:rFonts w:hAnsi="Times New Roman" w:cs="Times New Roman"/>
                <w:sz w:val="22"/>
                <w:szCs w:val="22"/>
                <w:lang w:val="fr-FR"/>
              </w:rPr>
            </w:pPr>
            <w:r w:rsidRPr="005934E0">
              <w:rPr>
                <w:rFonts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hAnsi="Times New Roman" w:cs="Times New Roman"/>
                <w:sz w:val="22"/>
                <w:szCs w:val="22"/>
              </w:rPr>
              <w:t xml:space="preserve"> </w:t>
            </w:r>
            <w:r w:rsidRPr="005934E0">
              <w:rPr>
                <w:rFonts w:hAnsi="Times New Roman" w:cs="Times New Roman"/>
                <w:sz w:val="22"/>
                <w:szCs w:val="22"/>
                <w:lang w:val="fr-FR"/>
              </w:rPr>
              <w:t xml:space="preserve"> Fax 06/85303253</w:t>
            </w:r>
          </w:p>
          <w:p w14:paraId="01C4AE8F" w14:textId="77777777" w:rsidR="00311955" w:rsidRPr="005934E0" w:rsidRDefault="00311955" w:rsidP="006125C6">
            <w:pPr>
              <w:pStyle w:val="Titolo1"/>
              <w:jc w:val="both"/>
              <w:rPr>
                <w:rFonts w:hAnsi="Times New Roman" w:cs="Times New Roman"/>
                <w:sz w:val="22"/>
                <w:szCs w:val="22"/>
              </w:rPr>
            </w:pPr>
          </w:p>
        </w:tc>
      </w:tr>
    </w:tbl>
    <w:p w14:paraId="7018301B" w14:textId="77777777" w:rsidR="006014F7" w:rsidRDefault="006014F7">
      <w:pPr>
        <w:jc w:val="both"/>
        <w:rPr>
          <w:sz w:val="20"/>
          <w:szCs w:val="20"/>
        </w:rPr>
      </w:pPr>
    </w:p>
    <w:p w14:paraId="6AFA7F28" w14:textId="77777777" w:rsidR="00161E57" w:rsidRDefault="002C50C8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  <w:r w:rsidRPr="001908D2">
        <w:rPr>
          <w:rFonts w:hAnsi="Times New Roman" w:cs="Times New Roman"/>
          <w:color w:val="auto"/>
          <w:sz w:val="26"/>
          <w:szCs w:val="26"/>
        </w:rPr>
        <w:t>Roma,</w:t>
      </w:r>
      <w:r w:rsidRPr="001908D2">
        <w:rPr>
          <w:rFonts w:hAnsi="Times New Roman" w:cs="Times New Roman"/>
          <w:color w:val="auto"/>
          <w:sz w:val="26"/>
          <w:szCs w:val="26"/>
        </w:rPr>
        <w:tab/>
        <w:t xml:space="preserve"> </w:t>
      </w:r>
      <w:r w:rsidR="00161E57">
        <w:rPr>
          <w:rFonts w:hAnsi="Times New Roman" w:cs="Times New Roman"/>
          <w:color w:val="auto"/>
          <w:sz w:val="26"/>
          <w:szCs w:val="26"/>
        </w:rPr>
        <w:t>12 dicembre 2019</w:t>
      </w:r>
    </w:p>
    <w:p w14:paraId="26ED0B68" w14:textId="77777777" w:rsidR="00161E57" w:rsidRDefault="00161E57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</w:p>
    <w:p w14:paraId="6EDB6195" w14:textId="77777777" w:rsidR="00161E57" w:rsidRDefault="00161E57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</w:p>
    <w:p w14:paraId="713B71EF" w14:textId="77777777" w:rsidR="006014F7" w:rsidRPr="001908D2" w:rsidRDefault="00161E57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  <w:r>
        <w:rPr>
          <w:rFonts w:hAnsi="Times New Roman" w:cs="Times New Roman"/>
          <w:color w:val="auto"/>
          <w:sz w:val="26"/>
          <w:szCs w:val="26"/>
        </w:rPr>
        <w:tab/>
      </w:r>
      <w:r>
        <w:rPr>
          <w:rFonts w:hAnsi="Times New Roman" w:cs="Times New Roman"/>
          <w:color w:val="auto"/>
          <w:sz w:val="26"/>
          <w:szCs w:val="26"/>
        </w:rPr>
        <w:tab/>
      </w:r>
      <w:r>
        <w:rPr>
          <w:rFonts w:hAnsi="Times New Roman" w:cs="Times New Roman"/>
          <w:color w:val="auto"/>
          <w:sz w:val="26"/>
          <w:szCs w:val="26"/>
        </w:rPr>
        <w:tab/>
      </w:r>
      <w:r w:rsidR="00687170">
        <w:rPr>
          <w:rFonts w:hAnsi="Times New Roman" w:cs="Times New Roman"/>
          <w:color w:val="auto"/>
          <w:sz w:val="26"/>
          <w:szCs w:val="26"/>
        </w:rPr>
        <w:tab/>
      </w:r>
      <w:r w:rsidR="00687170">
        <w:rPr>
          <w:rFonts w:hAnsi="Times New Roman" w:cs="Times New Roman"/>
          <w:color w:val="auto"/>
          <w:sz w:val="26"/>
          <w:szCs w:val="26"/>
        </w:rPr>
        <w:tab/>
      </w:r>
      <w:r>
        <w:rPr>
          <w:rFonts w:hAnsi="Times New Roman" w:cs="Times New Roman"/>
          <w:color w:val="auto"/>
          <w:sz w:val="26"/>
          <w:szCs w:val="26"/>
        </w:rPr>
        <w:tab/>
      </w:r>
      <w:r w:rsidR="002C50C8" w:rsidRPr="001908D2">
        <w:rPr>
          <w:rFonts w:hAnsi="Times New Roman" w:cs="Times New Roman"/>
          <w:color w:val="auto"/>
          <w:sz w:val="26"/>
          <w:szCs w:val="26"/>
        </w:rPr>
        <w:tab/>
        <w:t>Alle Segreterie Regionali e Territoriali</w:t>
      </w:r>
    </w:p>
    <w:p w14:paraId="108ED1BE" w14:textId="77777777" w:rsidR="006014F7" w:rsidRPr="001908D2" w:rsidRDefault="002C50C8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  <w:t>Alle Delegazioni Trattanti</w:t>
      </w:r>
    </w:p>
    <w:p w14:paraId="52111980" w14:textId="77777777" w:rsidR="006014F7" w:rsidRPr="001908D2" w:rsidRDefault="002C50C8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  <w:t xml:space="preserve">Fai-Cisl, </w:t>
      </w:r>
      <w:proofErr w:type="spellStart"/>
      <w:r w:rsidRPr="001908D2">
        <w:rPr>
          <w:rFonts w:hAnsi="Times New Roman" w:cs="Times New Roman"/>
          <w:color w:val="auto"/>
          <w:sz w:val="26"/>
          <w:szCs w:val="26"/>
        </w:rPr>
        <w:t>Flai</w:t>
      </w:r>
      <w:proofErr w:type="spellEnd"/>
      <w:r w:rsidRPr="001908D2">
        <w:rPr>
          <w:rFonts w:hAnsi="Times New Roman" w:cs="Times New Roman"/>
          <w:color w:val="auto"/>
          <w:sz w:val="26"/>
          <w:szCs w:val="26"/>
        </w:rPr>
        <w:t xml:space="preserve">-Cgil e </w:t>
      </w:r>
      <w:proofErr w:type="spellStart"/>
      <w:r w:rsidRPr="001908D2">
        <w:rPr>
          <w:rFonts w:hAnsi="Times New Roman" w:cs="Times New Roman"/>
          <w:color w:val="auto"/>
          <w:sz w:val="26"/>
          <w:szCs w:val="26"/>
        </w:rPr>
        <w:t>Filbi</w:t>
      </w:r>
      <w:proofErr w:type="spellEnd"/>
      <w:r w:rsidRPr="001908D2">
        <w:rPr>
          <w:rFonts w:hAnsi="Times New Roman" w:cs="Times New Roman"/>
          <w:color w:val="auto"/>
          <w:sz w:val="26"/>
          <w:szCs w:val="26"/>
        </w:rPr>
        <w:t>-Uil</w:t>
      </w:r>
    </w:p>
    <w:p w14:paraId="750C152B" w14:textId="77777777" w:rsidR="006014F7" w:rsidRPr="001908D2" w:rsidRDefault="002C50C8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  <w:t xml:space="preserve">interessate al </w:t>
      </w:r>
      <w:r w:rsidRPr="001908D2">
        <w:rPr>
          <w:rFonts w:hAnsi="Times New Roman" w:cs="Times New Roman"/>
          <w:b/>
          <w:bCs/>
          <w:color w:val="auto"/>
          <w:sz w:val="26"/>
          <w:szCs w:val="26"/>
        </w:rPr>
        <w:t>SETTORE BONIFICA</w:t>
      </w:r>
    </w:p>
    <w:p w14:paraId="6B95125F" w14:textId="77777777" w:rsidR="006014F7" w:rsidRPr="001908D2" w:rsidRDefault="006014F7" w:rsidP="002C50C8">
      <w:pPr>
        <w:jc w:val="both"/>
        <w:rPr>
          <w:rFonts w:hAnsi="Times New Roman" w:cs="Times New Roman"/>
          <w:color w:val="auto"/>
          <w:sz w:val="26"/>
          <w:szCs w:val="26"/>
        </w:rPr>
      </w:pPr>
    </w:p>
    <w:p w14:paraId="50EEBB2D" w14:textId="77777777" w:rsidR="006014F7" w:rsidRPr="001908D2" w:rsidRDefault="002C50C8" w:rsidP="002C50C8">
      <w:pPr>
        <w:jc w:val="both"/>
        <w:rPr>
          <w:rFonts w:hAnsi="Times New Roman" w:cs="Times New Roman"/>
          <w:color w:val="auto"/>
          <w:sz w:val="26"/>
          <w:szCs w:val="26"/>
          <w:u w:val="single"/>
        </w:rPr>
      </w:pP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  <w:u w:val="single"/>
        </w:rPr>
        <w:t>Loro Sedi</w:t>
      </w:r>
    </w:p>
    <w:p w14:paraId="718F8024" w14:textId="77777777" w:rsidR="0052512F" w:rsidRDefault="0052512F" w:rsidP="002C50C8">
      <w:pPr>
        <w:ind w:left="4248"/>
        <w:jc w:val="right"/>
        <w:rPr>
          <w:rFonts w:hAnsi="Times New Roman" w:cs="Times New Roman"/>
          <w:color w:val="auto"/>
          <w:sz w:val="26"/>
          <w:szCs w:val="26"/>
        </w:rPr>
      </w:pPr>
    </w:p>
    <w:p w14:paraId="2933DA45" w14:textId="77777777" w:rsidR="006014F7" w:rsidRPr="001908D2" w:rsidRDefault="002C50C8" w:rsidP="002C50C8">
      <w:pPr>
        <w:ind w:left="4248"/>
        <w:jc w:val="right"/>
        <w:rPr>
          <w:rFonts w:hAnsi="Times New Roman" w:cs="Times New Roman"/>
          <w:i/>
          <w:iCs/>
          <w:color w:val="auto"/>
          <w:sz w:val="26"/>
          <w:szCs w:val="26"/>
          <w:u w:color="0000FF"/>
        </w:rPr>
      </w:pPr>
      <w:r w:rsidRPr="001908D2">
        <w:rPr>
          <w:rFonts w:hAnsi="Times New Roman" w:cs="Times New Roman"/>
          <w:color w:val="auto"/>
          <w:sz w:val="26"/>
          <w:szCs w:val="26"/>
        </w:rPr>
        <w:tab/>
      </w:r>
      <w:r w:rsidRPr="001908D2">
        <w:rPr>
          <w:rFonts w:hAnsi="Times New Roman" w:cs="Times New Roman"/>
          <w:color w:val="auto"/>
          <w:sz w:val="26"/>
          <w:szCs w:val="26"/>
        </w:rPr>
        <w:tab/>
      </w:r>
    </w:p>
    <w:p w14:paraId="45493FD7" w14:textId="77777777" w:rsidR="006014F7" w:rsidRPr="001908D2" w:rsidRDefault="002C50C8" w:rsidP="002C50C8">
      <w:pPr>
        <w:ind w:left="4248"/>
        <w:jc w:val="right"/>
        <w:rPr>
          <w:rFonts w:hAnsi="Times New Roman" w:cs="Times New Roman"/>
          <w:i/>
          <w:iCs/>
          <w:color w:val="auto"/>
          <w:sz w:val="26"/>
          <w:szCs w:val="26"/>
          <w:u w:color="0000FF"/>
        </w:rPr>
      </w:pPr>
      <w:r w:rsidRPr="001908D2">
        <w:rPr>
          <w:rFonts w:hAnsi="Times New Roman" w:cs="Times New Roman"/>
          <w:i/>
          <w:iCs/>
          <w:color w:val="auto"/>
          <w:sz w:val="26"/>
          <w:szCs w:val="26"/>
          <w:u w:color="0000FF"/>
        </w:rPr>
        <w:t xml:space="preserve"> </w:t>
      </w:r>
    </w:p>
    <w:p w14:paraId="2622EC7B" w14:textId="77777777" w:rsidR="002C50C8" w:rsidRPr="001908D2" w:rsidRDefault="002C50C8" w:rsidP="002C50C8">
      <w:pPr>
        <w:spacing w:line="360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1908D2">
        <w:rPr>
          <w:rFonts w:hAnsi="Times New Roman" w:cs="Times New Roman"/>
          <w:b/>
          <w:bCs/>
          <w:color w:val="auto"/>
          <w:sz w:val="26"/>
          <w:szCs w:val="26"/>
        </w:rPr>
        <w:t xml:space="preserve">OGGETTO: RINNOVO CCNL CONSORZI DI BONIFICA E DI MIGLIORAMENTO </w:t>
      </w:r>
    </w:p>
    <w:p w14:paraId="24D6E834" w14:textId="77777777" w:rsidR="006014F7" w:rsidRPr="001908D2" w:rsidRDefault="002C50C8" w:rsidP="002C50C8">
      <w:pPr>
        <w:spacing w:line="360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1908D2">
        <w:rPr>
          <w:rFonts w:hAnsi="Times New Roman" w:cs="Times New Roman"/>
          <w:b/>
          <w:bCs/>
          <w:color w:val="auto"/>
          <w:sz w:val="26"/>
          <w:szCs w:val="26"/>
        </w:rPr>
        <w:t xml:space="preserve">                      FONDIARIO</w:t>
      </w:r>
      <w:r w:rsidR="00687170">
        <w:rPr>
          <w:rFonts w:hAnsi="Times New Roman" w:cs="Times New Roman"/>
          <w:b/>
          <w:bCs/>
          <w:color w:val="auto"/>
          <w:sz w:val="26"/>
          <w:szCs w:val="26"/>
        </w:rPr>
        <w:t xml:space="preserve"> 2019-2022</w:t>
      </w:r>
    </w:p>
    <w:p w14:paraId="6396CB3C" w14:textId="77777777" w:rsidR="002C50C8" w:rsidRDefault="002C50C8" w:rsidP="002C50C8">
      <w:pPr>
        <w:spacing w:line="360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</w:p>
    <w:p w14:paraId="2AFFAD6A" w14:textId="77777777" w:rsidR="00161E57" w:rsidRPr="001908D2" w:rsidRDefault="00161E57" w:rsidP="002C50C8">
      <w:pPr>
        <w:spacing w:line="360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</w:p>
    <w:p w14:paraId="2DAC9593" w14:textId="77777777" w:rsidR="00687170" w:rsidRPr="009B5EBB" w:rsidRDefault="002C50C8" w:rsidP="002C50C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5EBB">
        <w:rPr>
          <w:rFonts w:ascii="Times New Roman" w:hAnsi="Times New Roman" w:cs="Times New Roman"/>
          <w:color w:val="auto"/>
          <w:sz w:val="26"/>
          <w:szCs w:val="26"/>
        </w:rPr>
        <w:t xml:space="preserve">Il </w:t>
      </w:r>
      <w:r w:rsidR="00687170" w:rsidRPr="009B5EBB">
        <w:rPr>
          <w:rFonts w:ascii="Times New Roman" w:hAnsi="Times New Roman" w:cs="Times New Roman"/>
          <w:color w:val="auto"/>
          <w:sz w:val="26"/>
          <w:szCs w:val="26"/>
        </w:rPr>
        <w:t>9 dicembre 2019</w:t>
      </w:r>
      <w:r w:rsidRPr="009B5EBB">
        <w:rPr>
          <w:rFonts w:ascii="Times New Roman" w:hAnsi="Times New Roman" w:cs="Times New Roman"/>
          <w:color w:val="auto"/>
          <w:sz w:val="26"/>
          <w:szCs w:val="26"/>
        </w:rPr>
        <w:t xml:space="preserve"> è stata sottoscritta, presso la sede dello SNEBI, l’ipotesi di accordo relativa al rinnovo del Contratto Collettivo Nazionale di Lavoro per i dipendenti dai Consorzi di Bonifica e di Miglioramento Fondiario</w:t>
      </w:r>
      <w:r w:rsidR="0052512F" w:rsidRPr="009B5EBB">
        <w:rPr>
          <w:rFonts w:ascii="Times New Roman" w:hAnsi="Times New Roman" w:cs="Times New Roman"/>
          <w:color w:val="auto"/>
          <w:sz w:val="26"/>
          <w:szCs w:val="26"/>
        </w:rPr>
        <w:t>, che dovrà passare al vaglio dei lavoratori e lavoratrici.</w:t>
      </w:r>
    </w:p>
    <w:p w14:paraId="50F2E89D" w14:textId="77777777" w:rsidR="0052512F" w:rsidRPr="009B5EBB" w:rsidRDefault="0052512F" w:rsidP="002C50C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1D2C26E" w14:textId="77777777" w:rsidR="006014F7" w:rsidRPr="009B5EBB" w:rsidRDefault="00687170" w:rsidP="002C50C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5EBB">
        <w:rPr>
          <w:rFonts w:ascii="Times New Roman" w:hAnsi="Times New Roman" w:cs="Times New Roman"/>
          <w:color w:val="auto"/>
          <w:sz w:val="26"/>
          <w:szCs w:val="26"/>
        </w:rPr>
        <w:t>Il rinnovo è avvenuto in tempi brevi, grazie alle buone relazioni sindacali e allo sforzo congiunto dei lavoratori e della delegazione trattante</w:t>
      </w:r>
      <w:r w:rsidR="0052512F" w:rsidRPr="009B5EBB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5D799EF2" w14:textId="77777777" w:rsidR="0052512F" w:rsidRPr="009B5EBB" w:rsidRDefault="0052512F" w:rsidP="002C50C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1DD39178" w14:textId="77777777" w:rsidR="0052512F" w:rsidRPr="009B5EBB" w:rsidRDefault="0052512F" w:rsidP="0052512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5EBB">
        <w:rPr>
          <w:rFonts w:ascii="Times New Roman" w:hAnsi="Times New Roman" w:cs="Times New Roman"/>
          <w:color w:val="auto"/>
          <w:sz w:val="26"/>
          <w:szCs w:val="26"/>
        </w:rPr>
        <w:t xml:space="preserve">Vi invitiamo a convocare le assemblee, per la consultazione delle lavoratrici e dei lavoratori sull’ipotesi di accordo e che le stesse dovranno concludersi </w:t>
      </w:r>
      <w:r w:rsidRPr="009B5EBB">
        <w:rPr>
          <w:rFonts w:ascii="Times New Roman" w:hAnsi="Times New Roman" w:cs="Times New Roman"/>
          <w:b/>
          <w:bCs/>
          <w:color w:val="auto"/>
          <w:sz w:val="26"/>
          <w:szCs w:val="26"/>
        </w:rPr>
        <w:t>entro e non oltre il 9 febbraio 2020</w:t>
      </w:r>
      <w:r w:rsidRPr="009B5EBB">
        <w:rPr>
          <w:rFonts w:ascii="Times New Roman" w:hAnsi="Times New Roman" w:cs="Times New Roman"/>
          <w:color w:val="auto"/>
          <w:sz w:val="26"/>
          <w:szCs w:val="26"/>
        </w:rPr>
        <w:t xml:space="preserve"> (verbale in allegato).</w:t>
      </w:r>
    </w:p>
    <w:p w14:paraId="58805D1E" w14:textId="77777777" w:rsidR="0052512F" w:rsidRPr="009B5EBB" w:rsidRDefault="0052512F" w:rsidP="002C50C8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F812E66" w14:textId="77777777" w:rsidR="006014F7" w:rsidRPr="009B5EBB" w:rsidRDefault="002C50C8" w:rsidP="002C50C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B5EBB">
        <w:rPr>
          <w:rFonts w:ascii="Times New Roman" w:hAnsi="Times New Roman" w:cs="Times New Roman"/>
          <w:color w:val="auto"/>
          <w:sz w:val="26"/>
          <w:szCs w:val="26"/>
        </w:rPr>
        <w:t xml:space="preserve">Di seguito indichiamo nel dettaglio tutte le novità normative ed economiche previste nel nuovo testo. </w:t>
      </w:r>
    </w:p>
    <w:p w14:paraId="29DDEB7A" w14:textId="77777777" w:rsidR="002C50C8" w:rsidRPr="009B5EBB" w:rsidRDefault="002C50C8" w:rsidP="002C50C8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19F7ACA" w14:textId="77777777" w:rsidR="006014F7" w:rsidRPr="009B5EBB" w:rsidRDefault="002C50C8" w:rsidP="002C50C8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Classificazione del personale (Art. 2)</w:t>
      </w:r>
    </w:p>
    <w:p w14:paraId="1E367E90" w14:textId="77777777" w:rsidR="006014F7" w:rsidRPr="009B5EBB" w:rsidRDefault="002C50C8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Nell’articolo 2, area A</w:t>
      </w:r>
      <w:r w:rsidR="00C07C7B" w:rsidRPr="009B5EBB">
        <w:rPr>
          <w:rFonts w:hAnsi="Times New Roman" w:cs="Times New Roman"/>
          <w:color w:val="auto"/>
          <w:sz w:val="26"/>
          <w:szCs w:val="26"/>
        </w:rPr>
        <w:t xml:space="preserve"> è stata aggiunta una nota a verbale con la quale si prevede la costituzione di un Gruppo di Lavoro </w:t>
      </w:r>
      <w:r w:rsidR="008B557A" w:rsidRPr="009B5EBB">
        <w:rPr>
          <w:rFonts w:hAnsi="Times New Roman" w:cs="Times New Roman"/>
          <w:color w:val="auto"/>
          <w:sz w:val="26"/>
          <w:szCs w:val="26"/>
        </w:rPr>
        <w:t xml:space="preserve">che avrà il compito di </w:t>
      </w:r>
      <w:r w:rsidR="00BC6384" w:rsidRPr="009B5EBB">
        <w:rPr>
          <w:rFonts w:hAnsi="Times New Roman" w:cs="Times New Roman"/>
          <w:color w:val="auto"/>
          <w:sz w:val="26"/>
          <w:szCs w:val="26"/>
        </w:rPr>
        <w:t>valutare</w:t>
      </w:r>
      <w:r w:rsidR="008B557A" w:rsidRPr="009B5EBB">
        <w:rPr>
          <w:rFonts w:hAnsi="Times New Roman" w:cs="Times New Roman"/>
          <w:color w:val="auto"/>
          <w:sz w:val="26"/>
          <w:szCs w:val="26"/>
        </w:rPr>
        <w:t xml:space="preserve"> eventuali modifiche da apportare all’art. 2 entro il 31.12.2021.</w:t>
      </w:r>
    </w:p>
    <w:p w14:paraId="2BA2125C" w14:textId="77777777" w:rsidR="008B557A" w:rsidRPr="009B5EBB" w:rsidRDefault="008B557A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lastRenderedPageBreak/>
        <w:t xml:space="preserve">Sempre all’art. 2, verrà aggiunto un ultimo comma </w:t>
      </w:r>
      <w:r w:rsidR="00F42E6C" w:rsidRPr="009B5EBB">
        <w:rPr>
          <w:rFonts w:hAnsi="Times New Roman" w:cs="Times New Roman"/>
          <w:color w:val="auto"/>
          <w:sz w:val="26"/>
          <w:szCs w:val="26"/>
        </w:rPr>
        <w:t>nelle sezioni delle Aree C e D cui verrà riconosciuta la formazione incentivante originariamente prevista solo per l’Area B</w:t>
      </w:r>
      <w:r w:rsidR="00E24965" w:rsidRPr="009B5EBB">
        <w:rPr>
          <w:rFonts w:hAnsi="Times New Roman" w:cs="Times New Roman"/>
          <w:color w:val="auto"/>
          <w:sz w:val="26"/>
          <w:szCs w:val="26"/>
        </w:rPr>
        <w:t>.</w:t>
      </w:r>
    </w:p>
    <w:p w14:paraId="03A7282B" w14:textId="77777777" w:rsidR="0052512F" w:rsidRPr="009B5EBB" w:rsidRDefault="0052512F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3EBCBDCE" w14:textId="77777777" w:rsidR="0052512F" w:rsidRPr="009B5EBB" w:rsidRDefault="0052512F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69CA6CE9" w14:textId="77777777" w:rsidR="00311955" w:rsidRPr="009B5EBB" w:rsidRDefault="00311955" w:rsidP="002C50C8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</w:p>
    <w:p w14:paraId="15C12820" w14:textId="77777777" w:rsidR="006014F7" w:rsidRPr="009B5EBB" w:rsidRDefault="00F42E6C" w:rsidP="002C50C8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Permessi retribuiti e non retribuiti (art. 20)</w:t>
      </w:r>
    </w:p>
    <w:p w14:paraId="2E2D024F" w14:textId="77777777" w:rsidR="00F42E6C" w:rsidRPr="009B5EBB" w:rsidRDefault="00F42E6C" w:rsidP="00F42E6C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 xml:space="preserve">Tale articolo prevedeva il riconoscimento di tali permessi solo per i membri di organi direttivi provinciali. Con il rinnovo del CCNL, tali permessi sono stati estesi anche ai membri di organi direttivi </w:t>
      </w: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territoriali</w:t>
      </w:r>
      <w:r w:rsidRPr="009B5EBB">
        <w:rPr>
          <w:rFonts w:hAnsi="Times New Roman" w:cs="Times New Roman"/>
          <w:color w:val="auto"/>
          <w:sz w:val="26"/>
          <w:szCs w:val="26"/>
        </w:rPr>
        <w:t>.</w:t>
      </w:r>
      <w:r w:rsidR="00933AC3" w:rsidRPr="009B5EBB">
        <w:rPr>
          <w:rFonts w:hAnsi="Times New Roman" w:cs="Times New Roman"/>
          <w:color w:val="auto"/>
          <w:sz w:val="26"/>
          <w:szCs w:val="26"/>
        </w:rPr>
        <w:t xml:space="preserve"> (frutto di accorpamento fra più province).</w:t>
      </w:r>
    </w:p>
    <w:p w14:paraId="0FBE4A66" w14:textId="77777777" w:rsidR="0052512F" w:rsidRPr="009B5EBB" w:rsidRDefault="0052512F" w:rsidP="00F42E6C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1238D94A" w14:textId="77777777" w:rsidR="006014F7" w:rsidRPr="009B5EBB" w:rsidRDefault="00F42E6C" w:rsidP="0052512F">
      <w:pPr>
        <w:rPr>
          <w:rFonts w:hAnsi="Times New Roman" w:cs="Times New Roman"/>
          <w:b/>
          <w:bCs/>
          <w:color w:val="auto"/>
          <w:sz w:val="26"/>
          <w:szCs w:val="26"/>
        </w:rPr>
      </w:pP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Reperibilità</w:t>
      </w:r>
      <w:r w:rsidR="002C50C8" w:rsidRPr="009B5EBB">
        <w:rPr>
          <w:rFonts w:hAnsi="Times New Roman" w:cs="Times New Roman"/>
          <w:b/>
          <w:bCs/>
          <w:color w:val="auto"/>
          <w:sz w:val="26"/>
          <w:szCs w:val="26"/>
        </w:rPr>
        <w:t xml:space="preserve"> (Art. </w:t>
      </w: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51</w:t>
      </w:r>
      <w:r w:rsidR="002C50C8" w:rsidRPr="009B5EBB">
        <w:rPr>
          <w:rFonts w:hAnsi="Times New Roman" w:cs="Times New Roman"/>
          <w:b/>
          <w:bCs/>
          <w:color w:val="auto"/>
          <w:sz w:val="26"/>
          <w:szCs w:val="26"/>
        </w:rPr>
        <w:t>)</w:t>
      </w:r>
    </w:p>
    <w:p w14:paraId="29F4A222" w14:textId="77777777" w:rsidR="00C73569" w:rsidRPr="009B5EBB" w:rsidRDefault="00C73569" w:rsidP="00C73569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Nell’ambito della reperibilità il contratto prevede l’obbligatorietà per i Consorzi di predisporre</w:t>
      </w:r>
      <w:r w:rsidR="00E24965" w:rsidRPr="009B5EBB">
        <w:rPr>
          <w:rFonts w:hAnsi="Times New Roman" w:cs="Times New Roman"/>
          <w:color w:val="auto"/>
          <w:sz w:val="26"/>
          <w:szCs w:val="26"/>
        </w:rPr>
        <w:t>,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con cadenza almeno bimestrale</w:t>
      </w:r>
      <w:r w:rsidR="00E24965" w:rsidRPr="009B5EBB">
        <w:rPr>
          <w:rFonts w:hAnsi="Times New Roman" w:cs="Times New Roman"/>
          <w:color w:val="auto"/>
          <w:sz w:val="26"/>
          <w:szCs w:val="26"/>
        </w:rPr>
        <w:t>,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i calendari dei turni di reperibilità e l’</w:t>
      </w:r>
      <w:r w:rsidR="00E24965" w:rsidRPr="009B5EBB">
        <w:rPr>
          <w:rFonts w:hAnsi="Times New Roman" w:cs="Times New Roman"/>
          <w:color w:val="auto"/>
          <w:sz w:val="26"/>
          <w:szCs w:val="26"/>
        </w:rPr>
        <w:t>aumento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della relativa remunerazione da 15 a 20 euro per i giorni feriali e da 20 a 30 euro per i </w:t>
      </w:r>
      <w:proofErr w:type="gramStart"/>
      <w:r w:rsidRPr="009B5EBB">
        <w:rPr>
          <w:rFonts w:hAnsi="Times New Roman" w:cs="Times New Roman"/>
          <w:color w:val="auto"/>
          <w:sz w:val="26"/>
          <w:szCs w:val="26"/>
        </w:rPr>
        <w:t>festivi.</w:t>
      </w:r>
      <w:r w:rsidR="00933AC3" w:rsidRPr="009B5EBB">
        <w:rPr>
          <w:rFonts w:hAnsi="Times New Roman" w:cs="Times New Roman"/>
          <w:color w:val="auto"/>
          <w:sz w:val="26"/>
          <w:szCs w:val="26"/>
        </w:rPr>
        <w:t>(</w:t>
      </w:r>
      <w:proofErr w:type="gramEnd"/>
      <w:r w:rsidR="00933AC3" w:rsidRPr="009B5EBB">
        <w:rPr>
          <w:rFonts w:hAnsi="Times New Roman" w:cs="Times New Roman"/>
          <w:color w:val="auto"/>
          <w:sz w:val="26"/>
          <w:szCs w:val="26"/>
        </w:rPr>
        <w:t>in assenza di specifici accordi aziendali).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</w:t>
      </w:r>
    </w:p>
    <w:p w14:paraId="28FCB94F" w14:textId="77777777" w:rsidR="006014F7" w:rsidRPr="009B5EBB" w:rsidRDefault="00C73569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Consideriamo tali modifiche di estrema importanza in quanto</w:t>
      </w:r>
      <w:r w:rsidR="00E24965" w:rsidRPr="009B5EBB">
        <w:rPr>
          <w:rFonts w:hAnsi="Times New Roman" w:cs="Times New Roman"/>
          <w:color w:val="auto"/>
          <w:sz w:val="26"/>
          <w:szCs w:val="26"/>
        </w:rPr>
        <w:t>,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finalmente viene riconosciuto il giusto valore all’essenzialità del lavoro dei dipendenti degli Enti Consortili.</w:t>
      </w:r>
    </w:p>
    <w:p w14:paraId="025DE611" w14:textId="77777777" w:rsidR="00C73569" w:rsidRPr="009B5EBB" w:rsidRDefault="00C73569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674FCFE6" w14:textId="77777777" w:rsidR="006014F7" w:rsidRPr="009B5EBB" w:rsidRDefault="00C73569" w:rsidP="002C50C8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Banca delle ore (art. 79)</w:t>
      </w:r>
      <w:r w:rsidR="00AE6A85" w:rsidRPr="009B5EBB">
        <w:rPr>
          <w:rFonts w:hAnsi="Times New Roman" w:cs="Times New Roman"/>
          <w:b/>
          <w:bCs/>
          <w:color w:val="auto"/>
          <w:sz w:val="26"/>
          <w:szCs w:val="26"/>
        </w:rPr>
        <w:t xml:space="preserve"> - Congedi per eventi e cause particolari (art. 92)</w:t>
      </w:r>
    </w:p>
    <w:p w14:paraId="7BE78D76" w14:textId="77777777" w:rsidR="006014F7" w:rsidRPr="009B5EBB" w:rsidRDefault="00AE6A85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Il rinnovo ha riconosciuto maggiori tutele anche per gli avventizi che potranno usufruire della banca delle ore disciplinata dell’art. 79 e di due giorni di permesso di cui all’art. 92 in caso di decesso di coniuge o parenti entro il primo grado. Ciò rappresenta un importante passo avanti in quanto</w:t>
      </w:r>
      <w:r w:rsidR="00DC7407" w:rsidRPr="009B5EBB">
        <w:rPr>
          <w:rFonts w:hAnsi="Times New Roman" w:cs="Times New Roman"/>
          <w:color w:val="auto"/>
          <w:sz w:val="26"/>
          <w:szCs w:val="26"/>
        </w:rPr>
        <w:t>,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tali tipi di tutele erano</w:t>
      </w:r>
      <w:r w:rsidR="00933AC3" w:rsidRPr="009B5EBB">
        <w:rPr>
          <w:rFonts w:hAnsi="Times New Roman" w:cs="Times New Roman"/>
          <w:color w:val="auto"/>
          <w:sz w:val="26"/>
          <w:szCs w:val="26"/>
        </w:rPr>
        <w:t xml:space="preserve"> contrattualmente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riservate esclusivamente ai lavoratori a tempo indeterminato. </w:t>
      </w:r>
    </w:p>
    <w:p w14:paraId="7D2ACFB7" w14:textId="77777777" w:rsidR="00933AC3" w:rsidRPr="009B5EBB" w:rsidRDefault="00933AC3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Chiarendo altresì che detti permessi sono intesi ad evento, diversamente da quanto già previsto che lo indicava ad anno.</w:t>
      </w:r>
    </w:p>
    <w:p w14:paraId="6E6F9664" w14:textId="77777777" w:rsidR="00311955" w:rsidRPr="009B5EBB" w:rsidRDefault="00311955" w:rsidP="002C50C8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</w:p>
    <w:p w14:paraId="49E95E5B" w14:textId="77777777" w:rsidR="006014F7" w:rsidRPr="009B5EBB" w:rsidRDefault="0060047A" w:rsidP="002C50C8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Accorpamenti o fusioni di più Consorzi (art. 158)</w:t>
      </w:r>
    </w:p>
    <w:p w14:paraId="18D5B5C8" w14:textId="77777777" w:rsidR="009840E7" w:rsidRPr="009B5EBB" w:rsidRDefault="00BC6384" w:rsidP="009840E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proofErr w:type="gramStart"/>
      <w:r w:rsidRPr="009B5EBB">
        <w:rPr>
          <w:rFonts w:hAnsi="Times New Roman" w:cs="Times New Roman"/>
          <w:color w:val="auto"/>
          <w:sz w:val="26"/>
          <w:szCs w:val="26"/>
        </w:rPr>
        <w:t>E’</w:t>
      </w:r>
      <w:proofErr w:type="gramEnd"/>
      <w:r w:rsidRPr="009B5EBB">
        <w:rPr>
          <w:rFonts w:hAnsi="Times New Roman" w:cs="Times New Roman"/>
          <w:color w:val="auto"/>
          <w:sz w:val="26"/>
          <w:szCs w:val="26"/>
        </w:rPr>
        <w:t xml:space="preserve"> stata aggiunta una nota a verbale che prevede la costituzione di un Gruppo di Lavoro che avrà il compito di porre in essere tutte le </w:t>
      </w:r>
      <w:r w:rsidR="00CF3E18" w:rsidRPr="009B5EBB">
        <w:rPr>
          <w:rFonts w:hAnsi="Times New Roman" w:cs="Times New Roman"/>
          <w:color w:val="auto"/>
          <w:sz w:val="26"/>
          <w:szCs w:val="26"/>
        </w:rPr>
        <w:t xml:space="preserve">garanzie a tutela delle agibilità sindacali in tutte quelle realtà Consortili oggetto di </w:t>
      </w:r>
      <w:r w:rsidRPr="009B5EBB">
        <w:rPr>
          <w:rFonts w:hAnsi="Times New Roman" w:cs="Times New Roman"/>
          <w:color w:val="auto"/>
          <w:sz w:val="26"/>
          <w:szCs w:val="26"/>
        </w:rPr>
        <w:t>fusione e/o accorpamento a seguito di processi di riforma regionali</w:t>
      </w:r>
      <w:r w:rsidR="009840E7" w:rsidRPr="009B5EBB">
        <w:rPr>
          <w:rFonts w:hAnsi="Times New Roman" w:cs="Times New Roman"/>
          <w:color w:val="auto"/>
          <w:sz w:val="26"/>
          <w:szCs w:val="26"/>
        </w:rPr>
        <w:t>.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</w:t>
      </w:r>
    </w:p>
    <w:p w14:paraId="59AB82A3" w14:textId="77777777" w:rsidR="00452089" w:rsidRPr="009B5EBB" w:rsidRDefault="00452089" w:rsidP="009840E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23BF7DE9" w14:textId="77777777" w:rsidR="00452089" w:rsidRPr="009B5EBB" w:rsidRDefault="00452089" w:rsidP="009840E7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Ulteriori novità:</w:t>
      </w:r>
    </w:p>
    <w:p w14:paraId="044E0D32" w14:textId="77777777" w:rsidR="00452089" w:rsidRPr="009B5EBB" w:rsidRDefault="00452089" w:rsidP="009840E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proofErr w:type="gramStart"/>
      <w:r w:rsidRPr="009B5EBB">
        <w:rPr>
          <w:rFonts w:hAnsi="Times New Roman" w:cs="Times New Roman"/>
          <w:color w:val="auto"/>
          <w:sz w:val="26"/>
          <w:szCs w:val="26"/>
        </w:rPr>
        <w:t>E’</w:t>
      </w:r>
      <w:proofErr w:type="gramEnd"/>
      <w:r w:rsidRPr="009B5EBB">
        <w:rPr>
          <w:rFonts w:hAnsi="Times New Roman" w:cs="Times New Roman"/>
          <w:color w:val="auto"/>
          <w:sz w:val="26"/>
          <w:szCs w:val="26"/>
        </w:rPr>
        <w:t xml:space="preserve"> stata introdotta la disciplina</w:t>
      </w: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 xml:space="preserve"> delle ferie solidali, </w:t>
      </w:r>
      <w:r w:rsidRPr="009B5EBB">
        <w:rPr>
          <w:rFonts w:hAnsi="Times New Roman" w:cs="Times New Roman"/>
          <w:color w:val="auto"/>
          <w:sz w:val="26"/>
          <w:szCs w:val="26"/>
        </w:rPr>
        <w:t>uno strumento di importante rilievo sociale che permetterà ai dipendenti di uno stesso consorzio</w:t>
      </w:r>
      <w:r w:rsidR="00E24965" w:rsidRPr="009B5EBB">
        <w:rPr>
          <w:rFonts w:hAnsi="Times New Roman" w:cs="Times New Roman"/>
          <w:color w:val="auto"/>
          <w:sz w:val="26"/>
          <w:szCs w:val="26"/>
        </w:rPr>
        <w:t>,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di cedere volontariamente </w:t>
      </w:r>
      <w:r w:rsidR="00894BD5" w:rsidRPr="009B5EBB">
        <w:rPr>
          <w:rFonts w:hAnsi="Times New Roman" w:cs="Times New Roman"/>
          <w:color w:val="auto"/>
          <w:sz w:val="26"/>
          <w:szCs w:val="26"/>
        </w:rPr>
        <w:t>le proprie ferie, per un massimo di 10 giorni, ai colleghi bisognosi di riposi e ferie per assistere figli e/o parenti e affini entro il primo grado che per particolari condizioni di salute necessitano di cure costanti.</w:t>
      </w:r>
    </w:p>
    <w:p w14:paraId="415CD775" w14:textId="77777777" w:rsidR="00894BD5" w:rsidRPr="009B5EBB" w:rsidRDefault="00894BD5" w:rsidP="00894B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proofErr w:type="gramStart"/>
      <w:r w:rsidRPr="009B5EBB"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</w:rPr>
        <w:t>E’</w:t>
      </w:r>
      <w:proofErr w:type="gramEnd"/>
      <w:r w:rsidRPr="009B5EBB">
        <w:rPr>
          <w:rFonts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stato inoltre ratificato un importante accordo contro le molestie e la violenza di genere nei luoghi di lavoro che andrà a modificare l’allegato U del CCNL “Molestie sessuali e Mobbing”.</w:t>
      </w:r>
    </w:p>
    <w:p w14:paraId="21C2885C" w14:textId="77777777" w:rsidR="006014F7" w:rsidRPr="009B5EBB" w:rsidRDefault="006014F7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3EF5F7A1" w14:textId="77777777" w:rsidR="006014F7" w:rsidRPr="009B5EBB" w:rsidRDefault="002C50C8" w:rsidP="002C50C8">
      <w:pPr>
        <w:spacing w:line="276" w:lineRule="auto"/>
        <w:jc w:val="both"/>
        <w:rPr>
          <w:rFonts w:hAnsi="Times New Roman" w:cs="Times New Roman"/>
          <w:b/>
          <w:bCs/>
          <w:color w:val="auto"/>
          <w:sz w:val="26"/>
          <w:szCs w:val="26"/>
        </w:rPr>
      </w:pP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lastRenderedPageBreak/>
        <w:t>Parte economica</w:t>
      </w:r>
    </w:p>
    <w:p w14:paraId="7D29BCE4" w14:textId="77777777" w:rsidR="009840E7" w:rsidRPr="009B5EBB" w:rsidRDefault="009840E7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 xml:space="preserve">L’accordo prevede un aumento complessivo del </w:t>
      </w:r>
      <w:r w:rsidRPr="009B5EBB">
        <w:rPr>
          <w:rFonts w:hAnsi="Times New Roman" w:cs="Times New Roman"/>
          <w:b/>
          <w:bCs/>
          <w:color w:val="auto"/>
          <w:sz w:val="26"/>
          <w:szCs w:val="26"/>
        </w:rPr>
        <w:t>5,6%,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che corrisponde ad un incremento finale di 104 euro per il quadriennio a parametro medio.</w:t>
      </w:r>
    </w:p>
    <w:p w14:paraId="45407C20" w14:textId="77777777" w:rsidR="009840E7" w:rsidRPr="009B5EBB" w:rsidRDefault="009840E7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L’aumento sarà suddiviso in 7 tranche nel quadriennio così come di seguito specificate:</w:t>
      </w:r>
    </w:p>
    <w:p w14:paraId="55E6B6DC" w14:textId="77777777" w:rsidR="009840E7" w:rsidRPr="009B5EBB" w:rsidRDefault="009840E7" w:rsidP="00DC740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2019: luglio 1%</w:t>
      </w:r>
    </w:p>
    <w:p w14:paraId="0F01EA98" w14:textId="77777777" w:rsidR="009840E7" w:rsidRPr="009B5EBB" w:rsidRDefault="009840E7" w:rsidP="00DC740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 xml:space="preserve">2020: </w:t>
      </w:r>
      <w:r w:rsidR="00894BD5" w:rsidRPr="009B5EBB">
        <w:rPr>
          <w:rFonts w:hAnsi="Times New Roman" w:cs="Times New Roman"/>
          <w:color w:val="auto"/>
          <w:sz w:val="26"/>
          <w:szCs w:val="26"/>
        </w:rPr>
        <w:t xml:space="preserve">gennaio </w:t>
      </w:r>
      <w:r w:rsidRPr="009B5EBB">
        <w:rPr>
          <w:rFonts w:hAnsi="Times New Roman" w:cs="Times New Roman"/>
          <w:color w:val="auto"/>
          <w:sz w:val="26"/>
          <w:szCs w:val="26"/>
        </w:rPr>
        <w:t>0,7%–</w:t>
      </w:r>
      <w:r w:rsidR="00894BD5" w:rsidRPr="009B5EBB">
        <w:rPr>
          <w:rFonts w:hAnsi="Times New Roman" w:cs="Times New Roman"/>
          <w:color w:val="auto"/>
          <w:sz w:val="26"/>
          <w:szCs w:val="26"/>
        </w:rPr>
        <w:t xml:space="preserve"> settembre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 0,8%;</w:t>
      </w:r>
    </w:p>
    <w:p w14:paraId="5791866F" w14:textId="77777777" w:rsidR="009840E7" w:rsidRPr="009B5EBB" w:rsidRDefault="009840E7" w:rsidP="00DC740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 xml:space="preserve">2021: </w:t>
      </w:r>
      <w:r w:rsidR="00894BD5" w:rsidRPr="009B5EBB">
        <w:rPr>
          <w:rFonts w:hAnsi="Times New Roman" w:cs="Times New Roman"/>
          <w:color w:val="auto"/>
          <w:sz w:val="26"/>
          <w:szCs w:val="26"/>
        </w:rPr>
        <w:t xml:space="preserve">gennaio 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07% – </w:t>
      </w:r>
      <w:r w:rsidR="00894BD5" w:rsidRPr="009B5EBB">
        <w:rPr>
          <w:rFonts w:hAnsi="Times New Roman" w:cs="Times New Roman"/>
          <w:color w:val="auto"/>
          <w:sz w:val="26"/>
          <w:szCs w:val="26"/>
        </w:rPr>
        <w:t xml:space="preserve">settembre </w:t>
      </w:r>
      <w:r w:rsidRPr="009B5EBB">
        <w:rPr>
          <w:rFonts w:hAnsi="Times New Roman" w:cs="Times New Roman"/>
          <w:color w:val="auto"/>
          <w:sz w:val="26"/>
          <w:szCs w:val="26"/>
        </w:rPr>
        <w:t>0,8%;</w:t>
      </w:r>
    </w:p>
    <w:p w14:paraId="04DF3987" w14:textId="77777777" w:rsidR="006014F7" w:rsidRPr="009B5EBB" w:rsidRDefault="009840E7" w:rsidP="00DC740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 xml:space="preserve">2022: </w:t>
      </w:r>
      <w:r w:rsidR="00894BD5" w:rsidRPr="009B5EBB">
        <w:rPr>
          <w:rFonts w:hAnsi="Times New Roman" w:cs="Times New Roman"/>
          <w:color w:val="auto"/>
          <w:sz w:val="26"/>
          <w:szCs w:val="26"/>
        </w:rPr>
        <w:t xml:space="preserve">gennaio </w:t>
      </w:r>
      <w:r w:rsidR="00452089" w:rsidRPr="009B5EBB">
        <w:rPr>
          <w:rFonts w:hAnsi="Times New Roman" w:cs="Times New Roman"/>
          <w:color w:val="auto"/>
          <w:sz w:val="26"/>
          <w:szCs w:val="26"/>
        </w:rPr>
        <w:t xml:space="preserve">0,7% – </w:t>
      </w:r>
      <w:r w:rsidR="00894BD5" w:rsidRPr="009B5EBB">
        <w:rPr>
          <w:rFonts w:hAnsi="Times New Roman" w:cs="Times New Roman"/>
          <w:color w:val="auto"/>
          <w:sz w:val="26"/>
          <w:szCs w:val="26"/>
        </w:rPr>
        <w:t xml:space="preserve">settembre </w:t>
      </w:r>
      <w:r w:rsidR="00452089" w:rsidRPr="009B5EBB">
        <w:rPr>
          <w:rFonts w:hAnsi="Times New Roman" w:cs="Times New Roman"/>
          <w:color w:val="auto"/>
          <w:sz w:val="26"/>
          <w:szCs w:val="26"/>
        </w:rPr>
        <w:t>0,9%</w:t>
      </w:r>
    </w:p>
    <w:p w14:paraId="02AEA46C" w14:textId="77777777" w:rsidR="002C50C8" w:rsidRPr="009B5EBB" w:rsidRDefault="002C50C8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00E67571" w14:textId="77777777" w:rsidR="006014F7" w:rsidRPr="009B5EBB" w:rsidRDefault="006014F7" w:rsidP="002C50C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243417FE" w14:textId="77777777" w:rsidR="006014F7" w:rsidRPr="009B5EBB" w:rsidRDefault="002C50C8" w:rsidP="00DC7407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  <w:r w:rsidRPr="009B5EBB">
        <w:rPr>
          <w:rFonts w:hAnsi="Times New Roman" w:cs="Times New Roman"/>
          <w:color w:val="auto"/>
          <w:sz w:val="26"/>
          <w:szCs w:val="26"/>
        </w:rPr>
        <w:t>Fai-</w:t>
      </w:r>
      <w:proofErr w:type="spellStart"/>
      <w:r w:rsidRPr="009B5EBB">
        <w:rPr>
          <w:rFonts w:hAnsi="Times New Roman" w:cs="Times New Roman"/>
          <w:color w:val="auto"/>
          <w:sz w:val="26"/>
          <w:szCs w:val="26"/>
        </w:rPr>
        <w:t>Flai</w:t>
      </w:r>
      <w:proofErr w:type="spellEnd"/>
      <w:r w:rsidRPr="009B5EBB">
        <w:rPr>
          <w:rFonts w:hAnsi="Times New Roman" w:cs="Times New Roman"/>
          <w:color w:val="auto"/>
          <w:sz w:val="26"/>
          <w:szCs w:val="26"/>
        </w:rPr>
        <w:t>-</w:t>
      </w:r>
      <w:proofErr w:type="spellStart"/>
      <w:r w:rsidRPr="009B5EBB">
        <w:rPr>
          <w:rFonts w:hAnsi="Times New Roman" w:cs="Times New Roman"/>
          <w:color w:val="auto"/>
          <w:sz w:val="26"/>
          <w:szCs w:val="26"/>
        </w:rPr>
        <w:t>Filbi</w:t>
      </w:r>
      <w:proofErr w:type="spellEnd"/>
      <w:r w:rsidRPr="009B5EBB">
        <w:rPr>
          <w:rFonts w:hAnsi="Times New Roman" w:cs="Times New Roman"/>
          <w:color w:val="auto"/>
          <w:sz w:val="26"/>
          <w:szCs w:val="26"/>
        </w:rPr>
        <w:t xml:space="preserve"> esprimono la propria soddisfazione per il risultato raggiunto, capace di riaffermare il ruolo e l’importanza del contratto nazional</w:t>
      </w:r>
      <w:r w:rsidR="007330D9" w:rsidRPr="009B5EBB">
        <w:rPr>
          <w:rFonts w:hAnsi="Times New Roman" w:cs="Times New Roman"/>
          <w:color w:val="auto"/>
          <w:sz w:val="26"/>
          <w:szCs w:val="26"/>
        </w:rPr>
        <w:t>e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, </w:t>
      </w:r>
      <w:r w:rsidR="007330D9" w:rsidRPr="009B5EBB">
        <w:rPr>
          <w:rFonts w:hAnsi="Times New Roman" w:cs="Times New Roman"/>
          <w:color w:val="auto"/>
          <w:sz w:val="26"/>
          <w:szCs w:val="26"/>
        </w:rPr>
        <w:t>ch</w:t>
      </w:r>
      <w:r w:rsidR="00DC7407" w:rsidRPr="009B5EBB">
        <w:rPr>
          <w:rFonts w:hAnsi="Times New Roman" w:cs="Times New Roman"/>
          <w:color w:val="auto"/>
          <w:sz w:val="26"/>
          <w:szCs w:val="26"/>
        </w:rPr>
        <w:t xml:space="preserve">e ribadisce l’importanza della Bonifica quale settore strategico per i servizi 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all’attività agricola e </w:t>
      </w:r>
      <w:r w:rsidR="00DC7407" w:rsidRPr="009B5EBB">
        <w:rPr>
          <w:rFonts w:hAnsi="Times New Roman" w:cs="Times New Roman"/>
          <w:color w:val="auto"/>
          <w:sz w:val="26"/>
          <w:szCs w:val="26"/>
        </w:rPr>
        <w:t xml:space="preserve">per il </w:t>
      </w:r>
      <w:r w:rsidRPr="009B5EBB">
        <w:rPr>
          <w:rFonts w:hAnsi="Times New Roman" w:cs="Times New Roman"/>
          <w:color w:val="auto"/>
          <w:sz w:val="26"/>
          <w:szCs w:val="26"/>
        </w:rPr>
        <w:t xml:space="preserve">contrasto al dissesto idrogeologico per la tutela del territorio. </w:t>
      </w:r>
    </w:p>
    <w:p w14:paraId="7D892EA0" w14:textId="77777777" w:rsidR="006014F7" w:rsidRPr="009B5EBB" w:rsidRDefault="006014F7" w:rsidP="002C50C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12CEA880" w14:textId="77777777" w:rsidR="006014F7" w:rsidRPr="009B5EBB" w:rsidRDefault="002C50C8" w:rsidP="002C50C8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9B5EBB">
        <w:rPr>
          <w:rFonts w:ascii="Times New Roman" w:hAnsi="Times New Roman" w:cs="Times New Roman"/>
          <w:color w:val="auto"/>
          <w:sz w:val="26"/>
          <w:szCs w:val="26"/>
        </w:rPr>
        <w:t>Cordiali saluti.</w:t>
      </w:r>
    </w:p>
    <w:p w14:paraId="1D22F5D1" w14:textId="77777777" w:rsidR="006014F7" w:rsidRPr="009B5EBB" w:rsidRDefault="006014F7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p w14:paraId="613D190F" w14:textId="77777777" w:rsidR="005934E0" w:rsidRPr="009B5EBB" w:rsidRDefault="005934E0" w:rsidP="002C50C8">
      <w:pPr>
        <w:spacing w:line="276" w:lineRule="auto"/>
        <w:jc w:val="both"/>
        <w:rPr>
          <w:rFonts w:hAnsi="Times New Roman" w:cs="Times New Roman"/>
          <w:color w:val="auto"/>
          <w:sz w:val="26"/>
          <w:szCs w:val="26"/>
        </w:rPr>
      </w:pPr>
    </w:p>
    <w:tbl>
      <w:tblPr>
        <w:tblW w:w="9626" w:type="dxa"/>
        <w:jc w:val="center"/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8"/>
        <w:gridCol w:w="3209"/>
        <w:gridCol w:w="3209"/>
      </w:tblGrid>
      <w:tr w:rsidR="00311955" w:rsidRPr="009B5EBB" w14:paraId="6AEC5D72" w14:textId="77777777" w:rsidTr="006125C6">
        <w:trPr>
          <w:trHeight w:val="276"/>
          <w:jc w:val="center"/>
        </w:trPr>
        <w:tc>
          <w:tcPr>
            <w:tcW w:w="320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72EE2" w14:textId="77777777" w:rsidR="00311955" w:rsidRPr="009B5EBB" w:rsidRDefault="00311955" w:rsidP="002C50C8">
            <w:pPr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Fai – CISL</w:t>
            </w:r>
          </w:p>
          <w:p w14:paraId="48CE9D85" w14:textId="77777777" w:rsidR="00311955" w:rsidRPr="009B5EBB" w:rsidRDefault="00311955" w:rsidP="002C50C8">
            <w:pPr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(</w:t>
            </w:r>
            <w:proofErr w:type="spellStart"/>
            <w:r w:rsidR="00DC7407" w:rsidRPr="009B5EBB">
              <w:rPr>
                <w:rFonts w:hAnsi="Times New Roman" w:cs="Times New Roman"/>
                <w:color w:val="auto"/>
                <w:sz w:val="26"/>
                <w:szCs w:val="26"/>
              </w:rPr>
              <w:t>Buonaguro</w:t>
            </w:r>
            <w:proofErr w:type="spellEnd"/>
            <w:r w:rsidR="00DC7407" w:rsidRPr="009B5EBB">
              <w:rPr>
                <w:rFonts w:hAnsi="Times New Roman" w:cs="Times New Roman"/>
                <w:color w:val="auto"/>
                <w:sz w:val="26"/>
                <w:szCs w:val="26"/>
              </w:rPr>
              <w:t xml:space="preserve">- </w:t>
            </w:r>
            <w:proofErr w:type="spellStart"/>
            <w:r w:rsidR="00DC7407" w:rsidRPr="009B5EBB">
              <w:rPr>
                <w:rFonts w:hAnsi="Times New Roman" w:cs="Times New Roman"/>
                <w:color w:val="auto"/>
                <w:sz w:val="26"/>
                <w:szCs w:val="26"/>
              </w:rPr>
              <w:t>Faiotto</w:t>
            </w:r>
            <w:proofErr w:type="spellEnd"/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3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DD640" w14:textId="77777777" w:rsidR="00311955" w:rsidRPr="009B5EBB" w:rsidRDefault="00311955" w:rsidP="002C50C8">
            <w:pPr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Flai – CGIL</w:t>
            </w:r>
          </w:p>
          <w:p w14:paraId="2B913469" w14:textId="77777777" w:rsidR="00311955" w:rsidRPr="009B5EBB" w:rsidRDefault="00311955" w:rsidP="002C50C8">
            <w:pPr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(</w:t>
            </w:r>
            <w:r w:rsidR="00DC7407" w:rsidRPr="009B5EBB">
              <w:rPr>
                <w:rFonts w:hAnsi="Times New Roman" w:cs="Times New Roman"/>
                <w:color w:val="auto"/>
                <w:sz w:val="26"/>
                <w:szCs w:val="26"/>
              </w:rPr>
              <w:t>Balì</w:t>
            </w:r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Coinu</w:t>
            </w:r>
            <w:proofErr w:type="spellEnd"/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)</w:t>
            </w:r>
          </w:p>
        </w:tc>
        <w:tc>
          <w:tcPr>
            <w:tcW w:w="32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46DD8" w14:textId="77777777" w:rsidR="00311955" w:rsidRPr="009B5EBB" w:rsidRDefault="00311955" w:rsidP="002C50C8">
            <w:pPr>
              <w:tabs>
                <w:tab w:val="left" w:pos="509"/>
              </w:tabs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Filbi</w:t>
            </w:r>
            <w:proofErr w:type="spellEnd"/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 xml:space="preserve"> – UIL</w:t>
            </w:r>
          </w:p>
          <w:p w14:paraId="6546DF2B" w14:textId="77777777" w:rsidR="00311955" w:rsidRPr="009B5EBB" w:rsidRDefault="00311955" w:rsidP="002C50C8">
            <w:pPr>
              <w:jc w:val="center"/>
              <w:rPr>
                <w:rFonts w:hAnsi="Times New Roman" w:cs="Times New Roman"/>
                <w:color w:val="auto"/>
                <w:sz w:val="26"/>
                <w:szCs w:val="26"/>
              </w:rPr>
            </w:pPr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(De Gasperis</w:t>
            </w:r>
            <w:r w:rsidR="00DC7407" w:rsidRPr="009B5EBB">
              <w:rPr>
                <w:rFonts w:hAnsi="Times New Roman" w:cs="Times New Roman"/>
                <w:color w:val="auto"/>
                <w:sz w:val="26"/>
                <w:szCs w:val="26"/>
              </w:rPr>
              <w:t>- Torregrossa</w:t>
            </w:r>
            <w:r w:rsidRPr="009B5EBB">
              <w:rPr>
                <w:rFonts w:hAnsi="Times New Roman" w:cs="Times New Roman"/>
                <w:color w:val="auto"/>
                <w:sz w:val="26"/>
                <w:szCs w:val="26"/>
              </w:rPr>
              <w:t>)</w:t>
            </w:r>
          </w:p>
        </w:tc>
      </w:tr>
    </w:tbl>
    <w:p w14:paraId="08C9BCAD" w14:textId="77777777" w:rsidR="005934E0" w:rsidRPr="009B5EBB" w:rsidRDefault="005934E0" w:rsidP="002C50C8">
      <w:pPr>
        <w:spacing w:line="200" w:lineRule="atLeast"/>
        <w:jc w:val="both"/>
        <w:rPr>
          <w:rFonts w:hAnsi="Times New Roman" w:cs="Times New Roman"/>
          <w:color w:val="auto"/>
          <w:sz w:val="26"/>
          <w:szCs w:val="26"/>
        </w:rPr>
      </w:pPr>
    </w:p>
    <w:sectPr w:rsidR="005934E0" w:rsidRPr="009B5EBB" w:rsidSect="00311955">
      <w:headerReference w:type="default" r:id="rId10"/>
      <w:footerReference w:type="default" r:id="rId11"/>
      <w:pgSz w:w="11900" w:h="16840"/>
      <w:pgMar w:top="709" w:right="843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B18F" w14:textId="77777777" w:rsidR="00601654" w:rsidRDefault="00601654">
      <w:r>
        <w:separator/>
      </w:r>
    </w:p>
  </w:endnote>
  <w:endnote w:type="continuationSeparator" w:id="0">
    <w:p w14:paraId="3847BE16" w14:textId="77777777" w:rsidR="00601654" w:rsidRDefault="0060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EA5DD" w14:textId="77777777" w:rsidR="006014F7" w:rsidRDefault="006014F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12101" w14:textId="77777777" w:rsidR="00601654" w:rsidRDefault="00601654">
      <w:r>
        <w:separator/>
      </w:r>
    </w:p>
  </w:footnote>
  <w:footnote w:type="continuationSeparator" w:id="0">
    <w:p w14:paraId="1ACA18C3" w14:textId="77777777" w:rsidR="00601654" w:rsidRDefault="00601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F4F1D" w14:textId="77777777" w:rsidR="006014F7" w:rsidRDefault="006014F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47DED"/>
    <w:multiLevelType w:val="multilevel"/>
    <w:tmpl w:val="61AA42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397B6D4C"/>
    <w:multiLevelType w:val="multilevel"/>
    <w:tmpl w:val="A39AFE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2" w15:restartNumberingAfterBreak="0">
    <w:nsid w:val="3E806C61"/>
    <w:multiLevelType w:val="multilevel"/>
    <w:tmpl w:val="459CE3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3" w15:restartNumberingAfterBreak="0">
    <w:nsid w:val="409F4945"/>
    <w:multiLevelType w:val="hybridMultilevel"/>
    <w:tmpl w:val="E0BC2AFA"/>
    <w:lvl w:ilvl="0" w:tplc="963CE6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A328F"/>
    <w:multiLevelType w:val="multilevel"/>
    <w:tmpl w:val="A896FE5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rtl w:val="0"/>
      </w:rPr>
    </w:lvl>
  </w:abstractNum>
  <w:abstractNum w:abstractNumId="5" w15:restartNumberingAfterBreak="0">
    <w:nsid w:val="447E49AE"/>
    <w:multiLevelType w:val="multilevel"/>
    <w:tmpl w:val="B1AC8FB6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90"/>
      </w:pPr>
      <w:rPr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90"/>
      </w:pPr>
      <w:rPr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90"/>
      </w:pPr>
      <w:rPr>
        <w:position w:val="0"/>
        <w:sz w:val="26"/>
        <w:szCs w:val="26"/>
        <w:rtl w:val="0"/>
      </w:rPr>
    </w:lvl>
  </w:abstractNum>
  <w:abstractNum w:abstractNumId="6" w15:restartNumberingAfterBreak="0">
    <w:nsid w:val="56BB029B"/>
    <w:multiLevelType w:val="multilevel"/>
    <w:tmpl w:val="62443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6"/>
        <w:szCs w:val="26"/>
        <w:rtl w:val="0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90"/>
      </w:pPr>
      <w:rPr>
        <w:position w:val="0"/>
        <w:sz w:val="26"/>
        <w:szCs w:val="26"/>
        <w:rtl w:val="0"/>
      </w:rPr>
    </w:lvl>
    <w:lvl w:ilvl="2">
      <w:start w:val="1"/>
      <w:numFmt w:val="lowerRoman"/>
      <w:lvlText w:val="%3."/>
      <w:lvlJc w:val="left"/>
      <w:pPr>
        <w:tabs>
          <w:tab w:val="num" w:pos="2185"/>
        </w:tabs>
        <w:ind w:left="2185" w:hanging="321"/>
      </w:pPr>
      <w:rPr>
        <w:position w:val="0"/>
        <w:sz w:val="26"/>
        <w:szCs w:val="26"/>
        <w:rtl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90"/>
      </w:pPr>
      <w:rPr>
        <w:position w:val="0"/>
        <w:sz w:val="26"/>
        <w:szCs w:val="26"/>
        <w:rtl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90"/>
      </w:pPr>
      <w:rPr>
        <w:position w:val="0"/>
        <w:sz w:val="26"/>
        <w:szCs w:val="26"/>
        <w:rtl w:val="0"/>
      </w:rPr>
    </w:lvl>
    <w:lvl w:ilvl="5">
      <w:start w:val="1"/>
      <w:numFmt w:val="lowerRoman"/>
      <w:lvlText w:val="%6."/>
      <w:lvlJc w:val="left"/>
      <w:pPr>
        <w:tabs>
          <w:tab w:val="num" w:pos="4345"/>
        </w:tabs>
        <w:ind w:left="4345" w:hanging="321"/>
      </w:pPr>
      <w:rPr>
        <w:position w:val="0"/>
        <w:sz w:val="26"/>
        <w:szCs w:val="26"/>
        <w:rtl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90"/>
      </w:pPr>
      <w:rPr>
        <w:position w:val="0"/>
        <w:sz w:val="26"/>
        <w:szCs w:val="26"/>
        <w:rtl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90"/>
      </w:pPr>
      <w:rPr>
        <w:position w:val="0"/>
        <w:sz w:val="26"/>
        <w:szCs w:val="26"/>
        <w:rtl w:val="0"/>
      </w:rPr>
    </w:lvl>
    <w:lvl w:ilvl="8">
      <w:start w:val="1"/>
      <w:numFmt w:val="lowerRoman"/>
      <w:lvlText w:val="%9."/>
      <w:lvlJc w:val="left"/>
      <w:pPr>
        <w:tabs>
          <w:tab w:val="num" w:pos="6505"/>
        </w:tabs>
        <w:ind w:left="6505" w:hanging="321"/>
      </w:pPr>
      <w:rPr>
        <w:position w:val="0"/>
        <w:sz w:val="26"/>
        <w:szCs w:val="26"/>
        <w:rtl w:val="0"/>
      </w:rPr>
    </w:lvl>
  </w:abstractNum>
  <w:abstractNum w:abstractNumId="7" w15:restartNumberingAfterBreak="0">
    <w:nsid w:val="7B681DB9"/>
    <w:multiLevelType w:val="multilevel"/>
    <w:tmpl w:val="FD66D68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4F7"/>
    <w:rsid w:val="00087122"/>
    <w:rsid w:val="00161E57"/>
    <w:rsid w:val="001908D2"/>
    <w:rsid w:val="001B7EC5"/>
    <w:rsid w:val="002C50C8"/>
    <w:rsid w:val="00311955"/>
    <w:rsid w:val="00452089"/>
    <w:rsid w:val="0052512F"/>
    <w:rsid w:val="00555E40"/>
    <w:rsid w:val="005934E0"/>
    <w:rsid w:val="005A4F2E"/>
    <w:rsid w:val="0060047A"/>
    <w:rsid w:val="006014F7"/>
    <w:rsid w:val="00601654"/>
    <w:rsid w:val="00687170"/>
    <w:rsid w:val="007330D9"/>
    <w:rsid w:val="0078056E"/>
    <w:rsid w:val="008561EA"/>
    <w:rsid w:val="00894BD5"/>
    <w:rsid w:val="008B3665"/>
    <w:rsid w:val="008B557A"/>
    <w:rsid w:val="00933AC3"/>
    <w:rsid w:val="009632D8"/>
    <w:rsid w:val="009840E7"/>
    <w:rsid w:val="009B5EBB"/>
    <w:rsid w:val="00AE6A85"/>
    <w:rsid w:val="00BC6384"/>
    <w:rsid w:val="00C07C7B"/>
    <w:rsid w:val="00C13CDD"/>
    <w:rsid w:val="00C65C3B"/>
    <w:rsid w:val="00C71808"/>
    <w:rsid w:val="00C73569"/>
    <w:rsid w:val="00CF3E18"/>
    <w:rsid w:val="00DC7407"/>
    <w:rsid w:val="00E24965"/>
    <w:rsid w:val="00F428D4"/>
    <w:rsid w:val="00F42E6C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4E6E8"/>
  <w15:docId w15:val="{EA1FE4C2-E266-4DFC-B090-084ADFAB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632D8"/>
    <w:rPr>
      <w:rFonts w:hAnsi="Arial Unicode MS" w:cs="Arial Unicode MS"/>
      <w:color w:val="000000"/>
      <w:sz w:val="24"/>
      <w:szCs w:val="24"/>
      <w:u w:color="000000"/>
    </w:rPr>
  </w:style>
  <w:style w:type="paragraph" w:styleId="Titolo1">
    <w:name w:val="heading 1"/>
    <w:next w:val="Normale"/>
    <w:link w:val="Titolo1Carattere"/>
    <w:rsid w:val="009632D8"/>
    <w:pPr>
      <w:keepNext/>
      <w:jc w:val="center"/>
      <w:outlineLvl w:val="0"/>
    </w:pPr>
    <w:rPr>
      <w:rFonts w:hAnsi="Arial Unicode MS" w:cs="Arial Unicode MS"/>
      <w:i/>
      <w:i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632D8"/>
    <w:rPr>
      <w:u w:val="single"/>
    </w:rPr>
  </w:style>
  <w:style w:type="table" w:customStyle="1" w:styleId="TableNormal">
    <w:name w:val="Table Normal"/>
    <w:rsid w:val="009632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632D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9632D8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List0">
    <w:name w:val="List 0"/>
    <w:basedOn w:val="Stileimportato1"/>
    <w:rsid w:val="009632D8"/>
    <w:pPr>
      <w:numPr>
        <w:numId w:val="4"/>
      </w:numPr>
    </w:pPr>
  </w:style>
  <w:style w:type="numbering" w:customStyle="1" w:styleId="Stileimportato1">
    <w:name w:val="Stile importato 1"/>
    <w:rsid w:val="009632D8"/>
  </w:style>
  <w:style w:type="numbering" w:customStyle="1" w:styleId="List1">
    <w:name w:val="List 1"/>
    <w:basedOn w:val="Stileimportato2"/>
    <w:rsid w:val="009632D8"/>
    <w:pPr>
      <w:numPr>
        <w:numId w:val="7"/>
      </w:numPr>
    </w:pPr>
  </w:style>
  <w:style w:type="numbering" w:customStyle="1" w:styleId="Stileimportato2">
    <w:name w:val="Stile importato 2"/>
    <w:rsid w:val="009632D8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632D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632D8"/>
    <w:rPr>
      <w:rFonts w:hAnsi="Arial Unicode MS" w:cs="Arial Unicode MS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9632D8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34E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34E0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Titolo1Carattere">
    <w:name w:val="Titolo 1 Carattere"/>
    <w:basedOn w:val="Carpredefinitoparagrafo"/>
    <w:link w:val="Titolo1"/>
    <w:rsid w:val="00311955"/>
    <w:rPr>
      <w:rFonts w:hAnsi="Arial Unicode MS" w:cs="Arial Unicode MS"/>
      <w:i/>
      <w:iCs/>
      <w:color w:val="000000"/>
      <w:sz w:val="24"/>
      <w:szCs w:val="24"/>
      <w:u w:color="00000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F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F2E"/>
    <w:rPr>
      <w:rFonts w:hAnsi="Arial Unicode MS" w:cs="Arial Unicode MS"/>
      <w:b/>
      <w:bCs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84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Gubinelli</dc:creator>
  <cp:lastModifiedBy>Boninsegna Cristina</cp:lastModifiedBy>
  <cp:revision>2</cp:revision>
  <cp:lastPrinted>2019-12-11T16:19:00Z</cp:lastPrinted>
  <dcterms:created xsi:type="dcterms:W3CDTF">2019-12-13T16:42:00Z</dcterms:created>
  <dcterms:modified xsi:type="dcterms:W3CDTF">2019-12-13T16:42:00Z</dcterms:modified>
</cp:coreProperties>
</file>